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EDBAA" w14:textId="5DF388C2" w:rsidR="00C61466" w:rsidRDefault="00C61466" w:rsidP="00C61466">
      <w:pPr>
        <w:jc w:val="center"/>
      </w:pPr>
      <w:r w:rsidRPr="00C61466">
        <w:rPr>
          <w:b/>
          <w:bCs/>
          <w:sz w:val="28"/>
          <w:szCs w:val="28"/>
        </w:rPr>
        <w:t>Dairy Council of California</w:t>
      </w:r>
      <w:r>
        <w:br/>
      </w:r>
      <w:r w:rsidRPr="00C61466">
        <w:rPr>
          <w:sz w:val="28"/>
          <w:szCs w:val="28"/>
        </w:rPr>
        <w:t>National Dairy Month</w:t>
      </w:r>
      <w:r w:rsidRPr="00C61466">
        <w:rPr>
          <w:sz w:val="28"/>
          <w:szCs w:val="28"/>
        </w:rPr>
        <w:br/>
        <w:t>June 2024</w:t>
      </w:r>
      <w:r>
        <w:br/>
      </w:r>
    </w:p>
    <w:p w14:paraId="3C9FDA94" w14:textId="1C1AE51C" w:rsidR="00C61466" w:rsidRDefault="00C61466" w:rsidP="00C61466">
      <w:pPr>
        <w:jc w:val="center"/>
        <w:rPr>
          <w:i/>
          <w:iCs/>
          <w:sz w:val="28"/>
          <w:szCs w:val="28"/>
        </w:rPr>
      </w:pPr>
      <w:r w:rsidRPr="00C61466">
        <w:rPr>
          <w:i/>
          <w:iCs/>
          <w:sz w:val="28"/>
          <w:szCs w:val="28"/>
        </w:rPr>
        <w:t>Sample Social Media Posts</w:t>
      </w:r>
    </w:p>
    <w:p w14:paraId="73D4C437" w14:textId="4B95B0BA" w:rsidR="00492E76" w:rsidRPr="00492E76" w:rsidRDefault="00492E76" w:rsidP="69E18B7E">
      <w:pPr>
        <w:rPr>
          <w:b/>
          <w:bCs/>
          <w:sz w:val="24"/>
          <w:szCs w:val="24"/>
        </w:rPr>
      </w:pPr>
      <w:r w:rsidRPr="69E18B7E">
        <w:rPr>
          <w:sz w:val="24"/>
          <w:szCs w:val="24"/>
        </w:rPr>
        <w:t xml:space="preserve">For your convenience, use these sample social posts to promote </w:t>
      </w:r>
      <w:r w:rsidRPr="00EE2B30">
        <w:rPr>
          <w:b/>
          <w:bCs/>
          <w:sz w:val="24"/>
          <w:szCs w:val="24"/>
        </w:rPr>
        <w:t>National Dairy Month</w:t>
      </w:r>
      <w:r w:rsidRPr="69E18B7E">
        <w:rPr>
          <w:sz w:val="24"/>
          <w:szCs w:val="24"/>
        </w:rPr>
        <w:t xml:space="preserve"> on your social channels</w:t>
      </w:r>
      <w:r w:rsidR="00E84822" w:rsidRPr="69E18B7E">
        <w:rPr>
          <w:sz w:val="24"/>
          <w:szCs w:val="24"/>
        </w:rPr>
        <w:t xml:space="preserve"> including Facebook, Instagram, LinkedIn and X (formerly Twitter)</w:t>
      </w:r>
      <w:r w:rsidRPr="69E18B7E">
        <w:rPr>
          <w:sz w:val="24"/>
          <w:szCs w:val="24"/>
        </w:rPr>
        <w:t>. The downloadable image</w:t>
      </w:r>
      <w:r w:rsidR="00E84822" w:rsidRPr="69E18B7E">
        <w:rPr>
          <w:sz w:val="24"/>
          <w:szCs w:val="24"/>
        </w:rPr>
        <w:t>s</w:t>
      </w:r>
      <w:r w:rsidRPr="69E18B7E">
        <w:rPr>
          <w:sz w:val="24"/>
          <w:szCs w:val="24"/>
        </w:rPr>
        <w:t xml:space="preserve"> can accompany these posts, and we encourage you </w:t>
      </w:r>
      <w:r w:rsidR="00EE2B30">
        <w:rPr>
          <w:sz w:val="24"/>
          <w:szCs w:val="24"/>
        </w:rPr>
        <w:t>also to post photos from your celebrations</w:t>
      </w:r>
      <w:r w:rsidRPr="69E18B7E">
        <w:rPr>
          <w:sz w:val="24"/>
          <w:szCs w:val="24"/>
        </w:rPr>
        <w:t xml:space="preserve">! Be sure to tag </w:t>
      </w:r>
      <w:r w:rsidRPr="69E18B7E">
        <w:rPr>
          <w:b/>
          <w:bCs/>
          <w:sz w:val="24"/>
          <w:szCs w:val="24"/>
        </w:rPr>
        <w:t>@HealthyEatingCA</w:t>
      </w:r>
      <w:r w:rsidRPr="69E18B7E">
        <w:rPr>
          <w:sz w:val="24"/>
          <w:szCs w:val="24"/>
        </w:rPr>
        <w:t xml:space="preserve"> on Facebook and Instagram, and use the hashtag</w:t>
      </w:r>
      <w:r w:rsidR="15A49FE1" w:rsidRPr="69E18B7E">
        <w:rPr>
          <w:sz w:val="24"/>
          <w:szCs w:val="24"/>
        </w:rPr>
        <w:t>s</w:t>
      </w:r>
      <w:r w:rsidRPr="69E18B7E">
        <w:rPr>
          <w:sz w:val="24"/>
          <w:szCs w:val="24"/>
        </w:rPr>
        <w:t xml:space="preserve"> </w:t>
      </w:r>
      <w:r w:rsidRPr="69E18B7E">
        <w:rPr>
          <w:b/>
          <w:bCs/>
          <w:sz w:val="24"/>
          <w:szCs w:val="24"/>
        </w:rPr>
        <w:t>#NationalDairyMonth</w:t>
      </w:r>
      <w:r w:rsidR="1A06F6EC" w:rsidRPr="69E18B7E">
        <w:rPr>
          <w:b/>
          <w:bCs/>
          <w:sz w:val="24"/>
          <w:szCs w:val="24"/>
        </w:rPr>
        <w:t xml:space="preserve"> </w:t>
      </w:r>
      <w:r w:rsidR="1A06F6EC" w:rsidRPr="69E18B7E">
        <w:rPr>
          <w:sz w:val="24"/>
          <w:szCs w:val="24"/>
        </w:rPr>
        <w:t>and</w:t>
      </w:r>
      <w:r w:rsidR="1A06F6EC" w:rsidRPr="69E18B7E">
        <w:rPr>
          <w:b/>
          <w:bCs/>
          <w:sz w:val="24"/>
          <w:szCs w:val="24"/>
        </w:rPr>
        <w:t xml:space="preserve"> #DairyCouncilofCA</w:t>
      </w:r>
      <w:r w:rsidRPr="69E18B7E">
        <w:rPr>
          <w:sz w:val="24"/>
          <w:szCs w:val="24"/>
        </w:rPr>
        <w:t>.</w:t>
      </w:r>
    </w:p>
    <w:p w14:paraId="7A74A9F9" w14:textId="77777777" w:rsidR="00426001" w:rsidRDefault="00426001" w:rsidP="00426001">
      <w:pPr>
        <w:rPr>
          <w:i/>
          <w:iCs/>
          <w:sz w:val="28"/>
          <w:szCs w:val="28"/>
        </w:rPr>
      </w:pPr>
    </w:p>
    <w:tbl>
      <w:tblPr>
        <w:tblStyle w:val="TableGrid"/>
        <w:tblW w:w="0" w:type="auto"/>
        <w:jc w:val="center"/>
        <w:tblLook w:val="04A0" w:firstRow="1" w:lastRow="0" w:firstColumn="1" w:lastColumn="0" w:noHBand="0" w:noVBand="1"/>
      </w:tblPr>
      <w:tblGrid>
        <w:gridCol w:w="2785"/>
        <w:gridCol w:w="4933"/>
        <w:gridCol w:w="4550"/>
      </w:tblGrid>
      <w:tr w:rsidR="00C61466" w14:paraId="246D4BAB" w14:textId="77777777" w:rsidTr="69E18B7E">
        <w:trPr>
          <w:jc w:val="center"/>
        </w:trPr>
        <w:tc>
          <w:tcPr>
            <w:tcW w:w="2785" w:type="dxa"/>
          </w:tcPr>
          <w:p w14:paraId="214915A1" w14:textId="2A3E40D4" w:rsidR="00C61466" w:rsidRPr="00496C6C" w:rsidRDefault="00EC36E2" w:rsidP="00C61466">
            <w:pPr>
              <w:jc w:val="center"/>
              <w:rPr>
                <w:b/>
                <w:bCs/>
                <w:sz w:val="24"/>
                <w:szCs w:val="24"/>
              </w:rPr>
            </w:pPr>
            <w:r w:rsidRPr="00496C6C">
              <w:rPr>
                <w:b/>
                <w:bCs/>
                <w:sz w:val="24"/>
                <w:szCs w:val="24"/>
              </w:rPr>
              <w:t>Theme</w:t>
            </w:r>
          </w:p>
        </w:tc>
        <w:tc>
          <w:tcPr>
            <w:tcW w:w="4933" w:type="dxa"/>
          </w:tcPr>
          <w:p w14:paraId="0BCF9496" w14:textId="25CD22D0" w:rsidR="00C61466" w:rsidRPr="00496C6C" w:rsidRDefault="00C61466" w:rsidP="00C61466">
            <w:pPr>
              <w:jc w:val="center"/>
              <w:rPr>
                <w:b/>
                <w:bCs/>
                <w:sz w:val="24"/>
                <w:szCs w:val="24"/>
              </w:rPr>
            </w:pPr>
            <w:r w:rsidRPr="00496C6C">
              <w:rPr>
                <w:b/>
                <w:bCs/>
                <w:sz w:val="24"/>
                <w:szCs w:val="24"/>
              </w:rPr>
              <w:t>Copy</w:t>
            </w:r>
          </w:p>
        </w:tc>
        <w:tc>
          <w:tcPr>
            <w:tcW w:w="4550" w:type="dxa"/>
          </w:tcPr>
          <w:p w14:paraId="358402D4" w14:textId="3CEC78C8" w:rsidR="00C61466" w:rsidRPr="00496C6C" w:rsidRDefault="00C61466" w:rsidP="00C61466">
            <w:pPr>
              <w:jc w:val="center"/>
              <w:rPr>
                <w:b/>
                <w:bCs/>
                <w:sz w:val="24"/>
                <w:szCs w:val="24"/>
              </w:rPr>
            </w:pPr>
            <w:r w:rsidRPr="00496C6C">
              <w:rPr>
                <w:b/>
                <w:bCs/>
                <w:sz w:val="24"/>
                <w:szCs w:val="24"/>
              </w:rPr>
              <w:t>Image</w:t>
            </w:r>
          </w:p>
        </w:tc>
      </w:tr>
      <w:tr w:rsidR="001D35E7" w14:paraId="5EA5E58C" w14:textId="77777777" w:rsidTr="69E18B7E">
        <w:trPr>
          <w:jc w:val="center"/>
        </w:trPr>
        <w:tc>
          <w:tcPr>
            <w:tcW w:w="2785" w:type="dxa"/>
          </w:tcPr>
          <w:p w14:paraId="0FFCB1FF" w14:textId="6B603199" w:rsidR="00AD662C" w:rsidRPr="00496C6C" w:rsidRDefault="00EC36E2" w:rsidP="00AD662C">
            <w:pPr>
              <w:rPr>
                <w:sz w:val="28"/>
                <w:szCs w:val="28"/>
              </w:rPr>
            </w:pPr>
            <w:r w:rsidRPr="00496C6C">
              <w:rPr>
                <w:rFonts w:cs="Arial"/>
              </w:rPr>
              <w:t xml:space="preserve">National Dairy Month </w:t>
            </w:r>
            <w:r w:rsidR="0D98EAAF" w:rsidRPr="4B50C7AB">
              <w:rPr>
                <w:rFonts w:cs="Arial"/>
              </w:rPr>
              <w:t>C</w:t>
            </w:r>
            <w:r w:rsidR="7F0E60B3" w:rsidRPr="4B50C7AB">
              <w:rPr>
                <w:rFonts w:cs="Arial"/>
              </w:rPr>
              <w:t>elebration</w:t>
            </w:r>
            <w:r w:rsidRPr="00496C6C">
              <w:rPr>
                <w:rFonts w:cs="Arial"/>
              </w:rPr>
              <w:t xml:space="preserve"> and </w:t>
            </w:r>
            <w:r w:rsidR="51DA90CE" w:rsidRPr="4B50C7AB">
              <w:rPr>
                <w:rFonts w:cs="Arial"/>
              </w:rPr>
              <w:t>A</w:t>
            </w:r>
            <w:r w:rsidR="7F0E60B3" w:rsidRPr="4B50C7AB">
              <w:rPr>
                <w:rFonts w:cs="Arial"/>
              </w:rPr>
              <w:t>wareness</w:t>
            </w:r>
          </w:p>
        </w:tc>
        <w:tc>
          <w:tcPr>
            <w:tcW w:w="4933" w:type="dxa"/>
          </w:tcPr>
          <w:p w14:paraId="6C453310" w14:textId="6093A2D4" w:rsidR="00AD662C" w:rsidRPr="00496C6C" w:rsidRDefault="00AD662C" w:rsidP="00AD662C">
            <w:r w:rsidRPr="00496C6C">
              <w:t xml:space="preserve">Join us during #NationalDairyMonth in celebrating the amazing role milk and dairy foods play in nourishing people and supporting healthier communities! </w:t>
            </w:r>
            <w:r w:rsidRPr="00496C6C">
              <w:rPr>
                <w:rFonts w:cs="Segoe UI Emoji"/>
              </w:rPr>
              <w:t>Let's raise a glass to dairy’s crucial role in our healthy eating habits! Learn more at: DairyCouncilofCA.org/DairyMonth</w:t>
            </w:r>
          </w:p>
        </w:tc>
        <w:tc>
          <w:tcPr>
            <w:tcW w:w="4550" w:type="dxa"/>
          </w:tcPr>
          <w:p w14:paraId="35C4EC31" w14:textId="197FD724" w:rsidR="00AD662C" w:rsidRPr="00496C6C" w:rsidRDefault="001D35E7" w:rsidP="00AD662C">
            <w:pPr>
              <w:rPr>
                <w:i/>
                <w:iCs/>
                <w:sz w:val="28"/>
                <w:szCs w:val="28"/>
              </w:rPr>
            </w:pPr>
            <w:r>
              <w:rPr>
                <w:noProof/>
              </w:rPr>
              <w:drawing>
                <wp:anchor distT="0" distB="0" distL="114300" distR="114300" simplePos="0" relativeHeight="251658240" behindDoc="0" locked="0" layoutInCell="1" allowOverlap="1" wp14:anchorId="03FCBBC8" wp14:editId="4BAA8E3C">
                  <wp:simplePos x="0" y="0"/>
                  <wp:positionH relativeFrom="column">
                    <wp:posOffset>739665</wp:posOffset>
                  </wp:positionH>
                  <wp:positionV relativeFrom="paragraph">
                    <wp:posOffset>442</wp:posOffset>
                  </wp:positionV>
                  <wp:extent cx="1470439" cy="1470439"/>
                  <wp:effectExtent l="0" t="0" r="0" b="0"/>
                  <wp:wrapThrough wrapText="bothSides">
                    <wp:wrapPolygon edited="0">
                      <wp:start x="0" y="0"/>
                      <wp:lineTo x="0" y="21273"/>
                      <wp:lineTo x="21273" y="21273"/>
                      <wp:lineTo x="21273" y="0"/>
                      <wp:lineTo x="0" y="0"/>
                    </wp:wrapPolygon>
                  </wp:wrapThrough>
                  <wp:docPr id="5400414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70439" cy="1470439"/>
                          </a:xfrm>
                          <a:prstGeom prst="rect">
                            <a:avLst/>
                          </a:prstGeom>
                          <a:noFill/>
                          <a:ln>
                            <a:noFill/>
                          </a:ln>
                        </pic:spPr>
                      </pic:pic>
                    </a:graphicData>
                  </a:graphic>
                </wp:anchor>
              </w:drawing>
            </w:r>
          </w:p>
        </w:tc>
      </w:tr>
      <w:tr w:rsidR="001D35E7" w14:paraId="430D71BD" w14:textId="77777777" w:rsidTr="69E18B7E">
        <w:trPr>
          <w:jc w:val="center"/>
        </w:trPr>
        <w:tc>
          <w:tcPr>
            <w:tcW w:w="2785" w:type="dxa"/>
          </w:tcPr>
          <w:p w14:paraId="1D640C38" w14:textId="33A4C9C7" w:rsidR="00AD662C" w:rsidRPr="00496C6C" w:rsidRDefault="00EC36E2" w:rsidP="00AD662C">
            <w:pPr>
              <w:rPr>
                <w:i/>
                <w:iCs/>
                <w:sz w:val="28"/>
                <w:szCs w:val="28"/>
              </w:rPr>
            </w:pPr>
            <w:r w:rsidRPr="00496C6C">
              <w:rPr>
                <w:rFonts w:cs="Arial"/>
              </w:rPr>
              <w:t>Dairy</w:t>
            </w:r>
            <w:r w:rsidR="00747CC3">
              <w:rPr>
                <w:rFonts w:cs="Arial"/>
              </w:rPr>
              <w:t>’s</w:t>
            </w:r>
            <w:r w:rsidRPr="00496C6C">
              <w:rPr>
                <w:rFonts w:cs="Arial"/>
              </w:rPr>
              <w:t xml:space="preserve"> </w:t>
            </w:r>
            <w:r w:rsidR="70EEAE72" w:rsidRPr="19B413C7">
              <w:rPr>
                <w:rFonts w:cs="Arial"/>
              </w:rPr>
              <w:t>F</w:t>
            </w:r>
            <w:r w:rsidR="08DE35DD" w:rsidRPr="19B413C7">
              <w:rPr>
                <w:rFonts w:cs="Arial"/>
              </w:rPr>
              <w:t>unction</w:t>
            </w:r>
            <w:r w:rsidR="308D1AF2" w:rsidRPr="19B413C7">
              <w:rPr>
                <w:rFonts w:cs="Arial"/>
              </w:rPr>
              <w:t>al</w:t>
            </w:r>
            <w:r w:rsidR="08DE35DD" w:rsidRPr="19B413C7">
              <w:rPr>
                <w:rFonts w:cs="Arial"/>
              </w:rPr>
              <w:t xml:space="preserve"> </w:t>
            </w:r>
            <w:r w:rsidR="6B963020" w:rsidRPr="60ADDC8B">
              <w:rPr>
                <w:rFonts w:cs="Arial"/>
              </w:rPr>
              <w:t>H</w:t>
            </w:r>
            <w:r w:rsidR="08DE35DD" w:rsidRPr="60ADDC8B">
              <w:rPr>
                <w:rFonts w:cs="Arial"/>
              </w:rPr>
              <w:t xml:space="preserve">ealth </w:t>
            </w:r>
            <w:r w:rsidR="5EF70EE7" w:rsidRPr="60ADDC8B">
              <w:rPr>
                <w:rFonts w:cs="Arial"/>
              </w:rPr>
              <w:t>B</w:t>
            </w:r>
            <w:r w:rsidR="08DE35DD" w:rsidRPr="60ADDC8B">
              <w:rPr>
                <w:rFonts w:cs="Arial"/>
              </w:rPr>
              <w:t>enefits</w:t>
            </w:r>
          </w:p>
        </w:tc>
        <w:tc>
          <w:tcPr>
            <w:tcW w:w="4933" w:type="dxa"/>
          </w:tcPr>
          <w:p w14:paraId="22358A73" w14:textId="62C6736E" w:rsidR="00AD662C" w:rsidRPr="00496C6C" w:rsidRDefault="0063488A" w:rsidP="00AD662C">
            <w:r w:rsidRPr="00496C6C">
              <w:t xml:space="preserve">#DYK dairy foods offer more than just nutrients? They improve gut health, reduce inflammation, and positively impact chronic disease risk, immunity, sleep and brain health. Discover the many benefits of dairy during </w:t>
            </w:r>
            <w:r w:rsidR="0015531E" w:rsidRPr="00496C6C">
              <w:t xml:space="preserve">#NationalDairyMonth </w:t>
            </w:r>
            <w:r w:rsidRPr="00496C6C">
              <w:t>at: DairyCouncilofCA.org/DairyMonth</w:t>
            </w:r>
          </w:p>
        </w:tc>
        <w:tc>
          <w:tcPr>
            <w:tcW w:w="4550" w:type="dxa"/>
          </w:tcPr>
          <w:p w14:paraId="7B0D29E7" w14:textId="1C73460B" w:rsidR="00AD662C" w:rsidRPr="00496C6C" w:rsidRDefault="003C05C7" w:rsidP="00AD662C">
            <w:pPr>
              <w:rPr>
                <w:i/>
                <w:iCs/>
                <w:sz w:val="28"/>
                <w:szCs w:val="28"/>
              </w:rPr>
            </w:pPr>
            <w:r>
              <w:rPr>
                <w:noProof/>
              </w:rPr>
              <w:drawing>
                <wp:anchor distT="0" distB="0" distL="114300" distR="114300" simplePos="0" relativeHeight="251658241" behindDoc="0" locked="0" layoutInCell="1" allowOverlap="1" wp14:anchorId="1FC8CC0E" wp14:editId="3802FD47">
                  <wp:simplePos x="0" y="0"/>
                  <wp:positionH relativeFrom="column">
                    <wp:posOffset>687705</wp:posOffset>
                  </wp:positionH>
                  <wp:positionV relativeFrom="paragraph">
                    <wp:posOffset>0</wp:posOffset>
                  </wp:positionV>
                  <wp:extent cx="1472184" cy="1472184"/>
                  <wp:effectExtent l="0" t="0" r="0" b="0"/>
                  <wp:wrapThrough wrapText="bothSides">
                    <wp:wrapPolygon edited="0">
                      <wp:start x="0" y="0"/>
                      <wp:lineTo x="0" y="21246"/>
                      <wp:lineTo x="21246" y="21246"/>
                      <wp:lineTo x="21246" y="0"/>
                      <wp:lineTo x="0" y="0"/>
                    </wp:wrapPolygon>
                  </wp:wrapThrough>
                  <wp:docPr id="173248644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72184" cy="1472184"/>
                          </a:xfrm>
                          <a:prstGeom prst="rect">
                            <a:avLst/>
                          </a:prstGeom>
                          <a:noFill/>
                          <a:ln>
                            <a:noFill/>
                          </a:ln>
                        </pic:spPr>
                      </pic:pic>
                    </a:graphicData>
                  </a:graphic>
                </wp:anchor>
              </w:drawing>
            </w:r>
          </w:p>
        </w:tc>
      </w:tr>
      <w:tr w:rsidR="001D35E7" w14:paraId="2B0CB66C" w14:textId="77777777" w:rsidTr="69E18B7E">
        <w:trPr>
          <w:jc w:val="center"/>
        </w:trPr>
        <w:tc>
          <w:tcPr>
            <w:tcW w:w="2785" w:type="dxa"/>
          </w:tcPr>
          <w:p w14:paraId="75D12C02" w14:textId="786015B6" w:rsidR="00C61466" w:rsidRPr="00496C6C" w:rsidRDefault="00223B83" w:rsidP="00C61466">
            <w:pPr>
              <w:rPr>
                <w:i/>
                <w:iCs/>
                <w:sz w:val="28"/>
                <w:szCs w:val="28"/>
              </w:rPr>
            </w:pPr>
            <w:r w:rsidRPr="00496C6C">
              <w:rPr>
                <w:rFonts w:cs="Arial"/>
              </w:rPr>
              <w:lastRenderedPageBreak/>
              <w:t xml:space="preserve">Dairy’s </w:t>
            </w:r>
            <w:r w:rsidR="68435BF4" w:rsidRPr="2C834966">
              <w:rPr>
                <w:rFonts w:cs="Arial"/>
              </w:rPr>
              <w:t>R</w:t>
            </w:r>
            <w:r w:rsidR="08DE35DD" w:rsidRPr="2C834966">
              <w:rPr>
                <w:rFonts w:cs="Arial"/>
              </w:rPr>
              <w:t>ole</w:t>
            </w:r>
            <w:r w:rsidRPr="00496C6C">
              <w:rPr>
                <w:rFonts w:cs="Arial"/>
              </w:rPr>
              <w:t xml:space="preserve"> in </w:t>
            </w:r>
            <w:r w:rsidR="0E9D32A2" w:rsidRPr="3CF55FBF">
              <w:rPr>
                <w:rFonts w:cs="Arial"/>
              </w:rPr>
              <w:t>N</w:t>
            </w:r>
            <w:r w:rsidR="08DE35DD" w:rsidRPr="3CF55FBF">
              <w:rPr>
                <w:rFonts w:cs="Arial"/>
              </w:rPr>
              <w:t xml:space="preserve">utrition </w:t>
            </w:r>
            <w:r w:rsidR="4F611848" w:rsidRPr="3CF55FBF">
              <w:rPr>
                <w:rFonts w:cs="Arial"/>
              </w:rPr>
              <w:t>S</w:t>
            </w:r>
            <w:r w:rsidR="08DE35DD" w:rsidRPr="3CF55FBF">
              <w:rPr>
                <w:rFonts w:cs="Arial"/>
              </w:rPr>
              <w:t>ecurity</w:t>
            </w:r>
          </w:p>
        </w:tc>
        <w:tc>
          <w:tcPr>
            <w:tcW w:w="4933" w:type="dxa"/>
          </w:tcPr>
          <w:p w14:paraId="74924C73" w14:textId="4AF54A21" w:rsidR="00C61466" w:rsidRPr="00496C6C" w:rsidRDefault="008A39DD" w:rsidP="0012682A">
            <w:r w:rsidRPr="00496C6C">
              <w:t xml:space="preserve">Access to healthy, safe, culturally relevant, and affordable foods is essential for optimal health and well-being. Dairy foods are key to improving nutrition security, providing children, families, and communities with the nutrients they need to thrive. Learn more </w:t>
            </w:r>
            <w:r w:rsidR="006E1778">
              <w:t xml:space="preserve">during </w:t>
            </w:r>
            <w:r w:rsidR="006E1778" w:rsidRPr="00496C6C">
              <w:t xml:space="preserve">#NationalDairyMonth </w:t>
            </w:r>
            <w:r w:rsidRPr="00496C6C">
              <w:t>at: DairyCouncilofCA.org/DairyMonth</w:t>
            </w:r>
          </w:p>
        </w:tc>
        <w:tc>
          <w:tcPr>
            <w:tcW w:w="4550" w:type="dxa"/>
          </w:tcPr>
          <w:p w14:paraId="2B8BBE35" w14:textId="23B6B0D5" w:rsidR="00C61466" w:rsidRPr="00496C6C" w:rsidRDefault="00DE6DEB" w:rsidP="00C61466">
            <w:pPr>
              <w:rPr>
                <w:i/>
                <w:iCs/>
                <w:sz w:val="28"/>
                <w:szCs w:val="28"/>
              </w:rPr>
            </w:pPr>
            <w:r>
              <w:rPr>
                <w:noProof/>
              </w:rPr>
              <w:drawing>
                <wp:anchor distT="0" distB="0" distL="114300" distR="114300" simplePos="0" relativeHeight="251658242" behindDoc="1" locked="0" layoutInCell="1" allowOverlap="1" wp14:anchorId="04D65916" wp14:editId="75D6AC44">
                  <wp:simplePos x="0" y="0"/>
                  <wp:positionH relativeFrom="column">
                    <wp:posOffset>744220</wp:posOffset>
                  </wp:positionH>
                  <wp:positionV relativeFrom="paragraph">
                    <wp:posOffset>0</wp:posOffset>
                  </wp:positionV>
                  <wp:extent cx="1472184" cy="1472184"/>
                  <wp:effectExtent l="0" t="0" r="0" b="0"/>
                  <wp:wrapTight wrapText="bothSides">
                    <wp:wrapPolygon edited="0">
                      <wp:start x="0" y="0"/>
                      <wp:lineTo x="0" y="21246"/>
                      <wp:lineTo x="21246" y="21246"/>
                      <wp:lineTo x="21246" y="0"/>
                      <wp:lineTo x="0" y="0"/>
                    </wp:wrapPolygon>
                  </wp:wrapTight>
                  <wp:docPr id="21364568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72184" cy="1472184"/>
                          </a:xfrm>
                          <a:prstGeom prst="rect">
                            <a:avLst/>
                          </a:prstGeom>
                          <a:noFill/>
                          <a:ln>
                            <a:noFill/>
                          </a:ln>
                        </pic:spPr>
                      </pic:pic>
                    </a:graphicData>
                  </a:graphic>
                </wp:anchor>
              </w:drawing>
            </w:r>
          </w:p>
        </w:tc>
      </w:tr>
      <w:tr w:rsidR="001D35E7" w14:paraId="25402BEE" w14:textId="77777777" w:rsidTr="69E18B7E">
        <w:trPr>
          <w:jc w:val="center"/>
        </w:trPr>
        <w:tc>
          <w:tcPr>
            <w:tcW w:w="2785" w:type="dxa"/>
          </w:tcPr>
          <w:p w14:paraId="21BF056F" w14:textId="7869D561" w:rsidR="00C61466" w:rsidRPr="00496C6C" w:rsidRDefault="44F9A424" w:rsidP="69E18B7E">
            <w:pPr>
              <w:rPr>
                <w:rFonts w:cs="Arial"/>
              </w:rPr>
            </w:pPr>
            <w:r w:rsidRPr="69E18B7E">
              <w:rPr>
                <w:rFonts w:cs="Arial"/>
              </w:rPr>
              <w:t xml:space="preserve">Dairy’s </w:t>
            </w:r>
            <w:r w:rsidR="1887E9B7" w:rsidRPr="3AA6059E">
              <w:rPr>
                <w:rFonts w:cs="Arial"/>
              </w:rPr>
              <w:t>B</w:t>
            </w:r>
            <w:r w:rsidR="1216472E" w:rsidRPr="3AA6059E">
              <w:rPr>
                <w:rFonts w:cs="Arial"/>
              </w:rPr>
              <w:t>enefits</w:t>
            </w:r>
            <w:r w:rsidRPr="69E18B7E">
              <w:rPr>
                <w:rFonts w:cs="Arial"/>
              </w:rPr>
              <w:t xml:space="preserve"> </w:t>
            </w:r>
            <w:r w:rsidR="3886AC31" w:rsidRPr="69E18B7E">
              <w:rPr>
                <w:rFonts w:cs="Arial"/>
              </w:rPr>
              <w:t xml:space="preserve">at </w:t>
            </w:r>
            <w:r w:rsidR="1F1A02DD" w:rsidRPr="3F27A185">
              <w:rPr>
                <w:rFonts w:cs="Arial"/>
              </w:rPr>
              <w:t>K</w:t>
            </w:r>
            <w:r w:rsidR="4C8AE195" w:rsidRPr="3F27A185">
              <w:rPr>
                <w:rFonts w:cs="Arial"/>
              </w:rPr>
              <w:t xml:space="preserve">ey </w:t>
            </w:r>
            <w:r w:rsidR="1FA8BF08" w:rsidRPr="3F27A185">
              <w:rPr>
                <w:rFonts w:cs="Arial"/>
              </w:rPr>
              <w:t>L</w:t>
            </w:r>
            <w:r w:rsidR="4C8AE195" w:rsidRPr="3F27A185">
              <w:rPr>
                <w:rFonts w:cs="Arial"/>
              </w:rPr>
              <w:t>ife</w:t>
            </w:r>
            <w:r w:rsidR="3886AC31" w:rsidRPr="69E18B7E">
              <w:rPr>
                <w:rFonts w:cs="Arial"/>
              </w:rPr>
              <w:t xml:space="preserve"> </w:t>
            </w:r>
            <w:r w:rsidR="07A7EB7E" w:rsidRPr="5DEC6D23">
              <w:rPr>
                <w:rFonts w:cs="Arial"/>
              </w:rPr>
              <w:t>S</w:t>
            </w:r>
            <w:r w:rsidR="4C8AE195" w:rsidRPr="5DEC6D23">
              <w:rPr>
                <w:rFonts w:cs="Arial"/>
              </w:rPr>
              <w:t>tages</w:t>
            </w:r>
          </w:p>
        </w:tc>
        <w:tc>
          <w:tcPr>
            <w:tcW w:w="4933" w:type="dxa"/>
          </w:tcPr>
          <w:p w14:paraId="38402FA4" w14:textId="130D9E7F" w:rsidR="00C61466" w:rsidRPr="00496C6C" w:rsidRDefault="00EA4B17" w:rsidP="00C61466">
            <w:r>
              <w:t xml:space="preserve">Dairy foods are a </w:t>
            </w:r>
            <w:r w:rsidR="46878AD7">
              <w:t xml:space="preserve">nutritional </w:t>
            </w:r>
            <w:r>
              <w:t xml:space="preserve">powerhouse </w:t>
            </w:r>
            <w:r w:rsidR="5CC8986E">
              <w:t>through all key life stages</w:t>
            </w:r>
            <w:r>
              <w:t xml:space="preserve">! They </w:t>
            </w:r>
            <w:r w:rsidR="6092D10C">
              <w:t xml:space="preserve">lay the foundation for good health in pregnancy, support </w:t>
            </w:r>
            <w:r w:rsidR="4353DE0D">
              <w:t>optimal growth</w:t>
            </w:r>
            <w:r w:rsidR="2198C393">
              <w:t xml:space="preserve"> for children and teen</w:t>
            </w:r>
            <w:r w:rsidR="27F52934">
              <w:t>s</w:t>
            </w:r>
            <w:r w:rsidR="2198C393">
              <w:t xml:space="preserve"> and </w:t>
            </w:r>
            <w:r w:rsidR="058E6A34">
              <w:t>enhance quality of life during aging.</w:t>
            </w:r>
            <w:r w:rsidR="00F36CA1">
              <w:t xml:space="preserve"> </w:t>
            </w:r>
            <w:r w:rsidR="10D2F98C">
              <w:t xml:space="preserve">This </w:t>
            </w:r>
            <w:r w:rsidR="00F36CA1">
              <w:t xml:space="preserve">#NationalDairyMonth </w:t>
            </w:r>
            <w:r w:rsidR="5CE0D713">
              <w:t>discover how dairy foods benefit you at every age</w:t>
            </w:r>
            <w:r w:rsidR="46EF0240">
              <w:t xml:space="preserve"> at</w:t>
            </w:r>
            <w:r w:rsidR="00303271">
              <w:t xml:space="preserve">: </w:t>
            </w:r>
            <w:r w:rsidR="00F36CA1">
              <w:t>DairyCouncilofCA.org/DairyMonth</w:t>
            </w:r>
          </w:p>
        </w:tc>
        <w:tc>
          <w:tcPr>
            <w:tcW w:w="4550" w:type="dxa"/>
          </w:tcPr>
          <w:p w14:paraId="25BDAF32" w14:textId="75C8FEB2" w:rsidR="00490E29" w:rsidRDefault="00490E29" w:rsidP="00C61466">
            <w:pPr>
              <w:rPr>
                <w:i/>
                <w:iCs/>
                <w:sz w:val="28"/>
                <w:szCs w:val="28"/>
              </w:rPr>
            </w:pPr>
            <w:r>
              <w:rPr>
                <w:noProof/>
              </w:rPr>
              <w:drawing>
                <wp:anchor distT="0" distB="0" distL="114300" distR="114300" simplePos="0" relativeHeight="251658243" behindDoc="1" locked="0" layoutInCell="1" allowOverlap="1" wp14:anchorId="37FBAA68" wp14:editId="3CCB3C84">
                  <wp:simplePos x="0" y="0"/>
                  <wp:positionH relativeFrom="column">
                    <wp:posOffset>753745</wp:posOffset>
                  </wp:positionH>
                  <wp:positionV relativeFrom="paragraph">
                    <wp:posOffset>102870</wp:posOffset>
                  </wp:positionV>
                  <wp:extent cx="1472184" cy="1472184"/>
                  <wp:effectExtent l="0" t="0" r="0" b="0"/>
                  <wp:wrapTight wrapText="bothSides">
                    <wp:wrapPolygon edited="0">
                      <wp:start x="0" y="0"/>
                      <wp:lineTo x="0" y="21246"/>
                      <wp:lineTo x="21246" y="21246"/>
                      <wp:lineTo x="21246" y="0"/>
                      <wp:lineTo x="0" y="0"/>
                    </wp:wrapPolygon>
                  </wp:wrapTight>
                  <wp:docPr id="156414116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72184" cy="1472184"/>
                          </a:xfrm>
                          <a:prstGeom prst="rect">
                            <a:avLst/>
                          </a:prstGeom>
                          <a:noFill/>
                          <a:ln>
                            <a:noFill/>
                          </a:ln>
                        </pic:spPr>
                      </pic:pic>
                    </a:graphicData>
                  </a:graphic>
                </wp:anchor>
              </w:drawing>
            </w:r>
          </w:p>
          <w:p w14:paraId="117088E3" w14:textId="0C862A75" w:rsidR="00C61466" w:rsidRPr="00496C6C" w:rsidRDefault="0007611C" w:rsidP="00C61466">
            <w:pPr>
              <w:rPr>
                <w:i/>
                <w:iCs/>
                <w:sz w:val="28"/>
                <w:szCs w:val="28"/>
              </w:rPr>
            </w:pPr>
            <w:r>
              <w:rPr>
                <w:noProof/>
              </w:rPr>
              <w:drawing>
                <wp:anchor distT="0" distB="0" distL="114300" distR="114300" simplePos="0" relativeHeight="251658245" behindDoc="1" locked="0" layoutInCell="1" allowOverlap="1" wp14:anchorId="71E76EB1" wp14:editId="4CD57C7D">
                  <wp:simplePos x="0" y="0"/>
                  <wp:positionH relativeFrom="column">
                    <wp:posOffset>770890</wp:posOffset>
                  </wp:positionH>
                  <wp:positionV relativeFrom="paragraph">
                    <wp:posOffset>2917825</wp:posOffset>
                  </wp:positionV>
                  <wp:extent cx="1471930" cy="1471930"/>
                  <wp:effectExtent l="0" t="0" r="0" b="0"/>
                  <wp:wrapTight wrapText="bothSides">
                    <wp:wrapPolygon edited="0">
                      <wp:start x="0" y="0"/>
                      <wp:lineTo x="0" y="21246"/>
                      <wp:lineTo x="21246" y="21246"/>
                      <wp:lineTo x="21246" y="0"/>
                      <wp:lineTo x="0" y="0"/>
                    </wp:wrapPolygon>
                  </wp:wrapTight>
                  <wp:docPr id="68140490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930" cy="1471930"/>
                          </a:xfrm>
                          <a:prstGeom prst="rect">
                            <a:avLst/>
                          </a:prstGeom>
                          <a:noFill/>
                          <a:ln>
                            <a:noFill/>
                          </a:ln>
                        </pic:spPr>
                      </pic:pic>
                    </a:graphicData>
                  </a:graphic>
                </wp:anchor>
              </w:drawing>
            </w:r>
            <w:r w:rsidR="002767FC">
              <w:rPr>
                <w:noProof/>
              </w:rPr>
              <w:drawing>
                <wp:anchor distT="0" distB="0" distL="114300" distR="114300" simplePos="0" relativeHeight="251658244" behindDoc="1" locked="0" layoutInCell="1" allowOverlap="1" wp14:anchorId="1C3D99D8" wp14:editId="44803723">
                  <wp:simplePos x="0" y="0"/>
                  <wp:positionH relativeFrom="column">
                    <wp:posOffset>772795</wp:posOffset>
                  </wp:positionH>
                  <wp:positionV relativeFrom="paragraph">
                    <wp:posOffset>1397000</wp:posOffset>
                  </wp:positionV>
                  <wp:extent cx="1472184" cy="1472184"/>
                  <wp:effectExtent l="0" t="0" r="0" b="0"/>
                  <wp:wrapTight wrapText="bothSides">
                    <wp:wrapPolygon edited="0">
                      <wp:start x="0" y="0"/>
                      <wp:lineTo x="0" y="21246"/>
                      <wp:lineTo x="21246" y="21246"/>
                      <wp:lineTo x="21246" y="0"/>
                      <wp:lineTo x="0" y="0"/>
                    </wp:wrapPolygon>
                  </wp:wrapTight>
                  <wp:docPr id="16332401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72184" cy="1472184"/>
                          </a:xfrm>
                          <a:prstGeom prst="rect">
                            <a:avLst/>
                          </a:prstGeom>
                          <a:noFill/>
                          <a:ln>
                            <a:noFill/>
                          </a:ln>
                        </pic:spPr>
                      </pic:pic>
                    </a:graphicData>
                  </a:graphic>
                </wp:anchor>
              </w:drawing>
            </w:r>
          </w:p>
        </w:tc>
      </w:tr>
      <w:tr w:rsidR="00C61466" w14:paraId="59470EFF" w14:textId="77777777" w:rsidTr="69E18B7E">
        <w:trPr>
          <w:jc w:val="center"/>
        </w:trPr>
        <w:tc>
          <w:tcPr>
            <w:tcW w:w="2785" w:type="dxa"/>
          </w:tcPr>
          <w:p w14:paraId="15589D12" w14:textId="55D8E3E4" w:rsidR="00C61466" w:rsidRPr="00496C6C" w:rsidRDefault="08DE35DD" w:rsidP="00C61466">
            <w:pPr>
              <w:rPr>
                <w:rFonts w:cs="Arial"/>
              </w:rPr>
            </w:pPr>
            <w:r w:rsidRPr="5DEC6D23">
              <w:rPr>
                <w:rFonts w:cs="Arial"/>
              </w:rPr>
              <w:lastRenderedPageBreak/>
              <w:t xml:space="preserve">Dairy </w:t>
            </w:r>
            <w:r w:rsidR="43F706B7" w:rsidRPr="5DEC6D23">
              <w:rPr>
                <w:rFonts w:cs="Arial"/>
              </w:rPr>
              <w:t>S</w:t>
            </w:r>
            <w:r w:rsidRPr="5DEC6D23">
              <w:rPr>
                <w:rFonts w:cs="Arial"/>
              </w:rPr>
              <w:t>ustainability</w:t>
            </w:r>
          </w:p>
        </w:tc>
        <w:tc>
          <w:tcPr>
            <w:tcW w:w="4933" w:type="dxa"/>
          </w:tcPr>
          <w:p w14:paraId="038E8A71" w14:textId="765C5744" w:rsidR="00C61466" w:rsidRPr="00496C6C" w:rsidRDefault="00C70217" w:rsidP="00C61466">
            <w:r w:rsidRPr="00496C6C">
              <w:t xml:space="preserve">Sustainable nutrition means ensuring wholesome, nutrient-dense foods are accessible, affordable, and culturally relevant while preserving environmental resources and supporting local communities. </w:t>
            </w:r>
            <w:r w:rsidR="00B40838">
              <w:t xml:space="preserve">During </w:t>
            </w:r>
            <w:r w:rsidR="00B40838" w:rsidRPr="00496C6C">
              <w:t xml:space="preserve">#NationalDairyMonth </w:t>
            </w:r>
            <w:r w:rsidR="00410955">
              <w:t>learn how da</w:t>
            </w:r>
            <w:r w:rsidRPr="00496C6C">
              <w:t>iry plays a crucial role in this balance. Explore more at: DairyCouncilofCA.org/DairyMonth</w:t>
            </w:r>
          </w:p>
        </w:tc>
        <w:tc>
          <w:tcPr>
            <w:tcW w:w="4550" w:type="dxa"/>
          </w:tcPr>
          <w:p w14:paraId="0E61CECC" w14:textId="7A3DEED5" w:rsidR="00C61466" w:rsidRPr="00496C6C" w:rsidRDefault="00767252" w:rsidP="00C61466">
            <w:pPr>
              <w:rPr>
                <w:i/>
                <w:iCs/>
                <w:sz w:val="28"/>
                <w:szCs w:val="28"/>
              </w:rPr>
            </w:pPr>
            <w:r>
              <w:rPr>
                <w:noProof/>
              </w:rPr>
              <w:drawing>
                <wp:anchor distT="0" distB="0" distL="114300" distR="114300" simplePos="0" relativeHeight="251659269" behindDoc="1" locked="0" layoutInCell="1" allowOverlap="1" wp14:anchorId="58F39E92" wp14:editId="5A353301">
                  <wp:simplePos x="0" y="0"/>
                  <wp:positionH relativeFrom="column">
                    <wp:posOffset>840105</wp:posOffset>
                  </wp:positionH>
                  <wp:positionV relativeFrom="paragraph">
                    <wp:posOffset>0</wp:posOffset>
                  </wp:positionV>
                  <wp:extent cx="1472184" cy="1472184"/>
                  <wp:effectExtent l="0" t="0" r="0" b="0"/>
                  <wp:wrapTight wrapText="bothSides">
                    <wp:wrapPolygon edited="0">
                      <wp:start x="0" y="0"/>
                      <wp:lineTo x="0" y="21246"/>
                      <wp:lineTo x="21246" y="21246"/>
                      <wp:lineTo x="21246" y="0"/>
                      <wp:lineTo x="0" y="0"/>
                    </wp:wrapPolygon>
                  </wp:wrapTight>
                  <wp:docPr id="136677217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72184" cy="1472184"/>
                          </a:xfrm>
                          <a:prstGeom prst="rect">
                            <a:avLst/>
                          </a:prstGeom>
                          <a:noFill/>
                          <a:ln>
                            <a:noFill/>
                          </a:ln>
                        </pic:spPr>
                      </pic:pic>
                    </a:graphicData>
                  </a:graphic>
                </wp:anchor>
              </w:drawing>
            </w:r>
          </w:p>
        </w:tc>
      </w:tr>
    </w:tbl>
    <w:p w14:paraId="37551DE6" w14:textId="0325362D" w:rsidR="69E18B7E" w:rsidRDefault="69E18B7E" w:rsidP="69E18B7E">
      <w:pPr>
        <w:pStyle w:val="ListParagraph"/>
        <w:rPr>
          <w:rStyle w:val="oypena"/>
          <w:rFonts w:eastAsiaTheme="minorEastAsia"/>
        </w:rPr>
      </w:pPr>
    </w:p>
    <w:p w14:paraId="222AC82C" w14:textId="3A49CF3F" w:rsidR="69E18B7E" w:rsidRDefault="69E18B7E" w:rsidP="69E18B7E">
      <w:pPr>
        <w:pStyle w:val="ListParagraph"/>
        <w:rPr>
          <w:rStyle w:val="oypena"/>
          <w:rFonts w:eastAsiaTheme="minorEastAsia"/>
        </w:rPr>
      </w:pPr>
    </w:p>
    <w:p w14:paraId="05502EAE" w14:textId="1A2DD20C" w:rsidR="69E18B7E" w:rsidRDefault="69E18B7E" w:rsidP="69E18B7E">
      <w:pPr>
        <w:pStyle w:val="ListParagraph"/>
        <w:rPr>
          <w:rStyle w:val="oypena"/>
          <w:rFonts w:eastAsiaTheme="minorEastAsia"/>
        </w:rPr>
      </w:pPr>
    </w:p>
    <w:p w14:paraId="731D1F9A" w14:textId="3D7C4756" w:rsidR="69E18B7E" w:rsidRDefault="69E18B7E" w:rsidP="69E18B7E">
      <w:pPr>
        <w:pStyle w:val="ListParagraph"/>
        <w:rPr>
          <w:rStyle w:val="oypena"/>
          <w:rFonts w:eastAsiaTheme="minorEastAsia"/>
        </w:rPr>
      </w:pPr>
    </w:p>
    <w:p w14:paraId="05B12E9E" w14:textId="20B394FD" w:rsidR="69E18B7E" w:rsidRDefault="69E18B7E" w:rsidP="69E18B7E">
      <w:pPr>
        <w:pStyle w:val="ListParagraph"/>
        <w:rPr>
          <w:rStyle w:val="oypena"/>
          <w:rFonts w:eastAsiaTheme="minorEastAsia"/>
        </w:rPr>
      </w:pPr>
    </w:p>
    <w:p w14:paraId="41DB83FC" w14:textId="2B2E61D1" w:rsidR="69E18B7E" w:rsidRDefault="69E18B7E" w:rsidP="69E18B7E">
      <w:pPr>
        <w:pStyle w:val="ListParagraph"/>
        <w:rPr>
          <w:rStyle w:val="oypena"/>
          <w:rFonts w:eastAsiaTheme="minorEastAsia"/>
        </w:rPr>
      </w:pPr>
    </w:p>
    <w:p w14:paraId="55CD6F82" w14:textId="4C980429" w:rsidR="69E18B7E" w:rsidRDefault="69E18B7E" w:rsidP="69E18B7E">
      <w:pPr>
        <w:pStyle w:val="ListParagraph"/>
        <w:rPr>
          <w:rStyle w:val="oypena"/>
          <w:rFonts w:eastAsiaTheme="minorEastAsia"/>
        </w:rPr>
      </w:pPr>
    </w:p>
    <w:p w14:paraId="3887AFEB" w14:textId="12B6135D" w:rsidR="69E18B7E" w:rsidRDefault="69E18B7E" w:rsidP="69E18B7E">
      <w:pPr>
        <w:pStyle w:val="ListParagraph"/>
        <w:rPr>
          <w:rStyle w:val="oypena"/>
          <w:rFonts w:eastAsiaTheme="minorEastAsia"/>
        </w:rPr>
      </w:pPr>
    </w:p>
    <w:p w14:paraId="0751FB36" w14:textId="5CDFCAF9" w:rsidR="69E18B7E" w:rsidRDefault="69E18B7E" w:rsidP="69E18B7E">
      <w:pPr>
        <w:pStyle w:val="ListParagraph"/>
        <w:rPr>
          <w:rStyle w:val="oypena"/>
          <w:rFonts w:eastAsiaTheme="minorEastAsia"/>
        </w:rPr>
      </w:pPr>
    </w:p>
    <w:p w14:paraId="170D32E7" w14:textId="1442875B" w:rsidR="69E18B7E" w:rsidRDefault="69E18B7E" w:rsidP="69E18B7E">
      <w:pPr>
        <w:pStyle w:val="ListParagraph"/>
        <w:rPr>
          <w:rStyle w:val="oypena"/>
          <w:rFonts w:eastAsiaTheme="minorEastAsia"/>
        </w:rPr>
      </w:pPr>
    </w:p>
    <w:p w14:paraId="6490EF40" w14:textId="7EE5F354" w:rsidR="4D2611F3" w:rsidRDefault="4D2611F3" w:rsidP="4D2611F3">
      <w:pPr>
        <w:pStyle w:val="ListParagraph"/>
        <w:rPr>
          <w:rStyle w:val="oypena"/>
          <w:rFonts w:eastAsiaTheme="minorEastAsia"/>
        </w:rPr>
      </w:pPr>
    </w:p>
    <w:p w14:paraId="30A95478" w14:textId="149B72F4" w:rsidR="4D2611F3" w:rsidRDefault="4D2611F3" w:rsidP="4D2611F3">
      <w:pPr>
        <w:pStyle w:val="ListParagraph"/>
        <w:rPr>
          <w:rStyle w:val="oypena"/>
          <w:rFonts w:eastAsiaTheme="minorEastAsia"/>
        </w:rPr>
      </w:pPr>
    </w:p>
    <w:p w14:paraId="421ACB1D" w14:textId="77777777" w:rsidR="0032458A" w:rsidRDefault="0032458A" w:rsidP="1D09B734">
      <w:pPr>
        <w:pStyle w:val="ListParagraph"/>
        <w:jc w:val="center"/>
        <w:rPr>
          <w:rStyle w:val="oypena"/>
          <w:rFonts w:eastAsiaTheme="minorEastAsia"/>
          <w:b/>
          <w:sz w:val="36"/>
          <w:szCs w:val="36"/>
          <w:u w:val="single"/>
        </w:rPr>
      </w:pPr>
    </w:p>
    <w:p w14:paraId="4B229490" w14:textId="77777777" w:rsidR="00864202" w:rsidRDefault="00864202" w:rsidP="1D09B734">
      <w:pPr>
        <w:pStyle w:val="ListParagraph"/>
        <w:jc w:val="center"/>
        <w:rPr>
          <w:rStyle w:val="oypena"/>
          <w:rFonts w:eastAsiaTheme="minorEastAsia"/>
          <w:b/>
          <w:sz w:val="36"/>
          <w:szCs w:val="36"/>
          <w:u w:val="single"/>
        </w:rPr>
      </w:pPr>
    </w:p>
    <w:p w14:paraId="029DE780" w14:textId="77777777" w:rsidR="00864202" w:rsidRDefault="00864202" w:rsidP="1D09B734">
      <w:pPr>
        <w:pStyle w:val="ListParagraph"/>
        <w:jc w:val="center"/>
        <w:rPr>
          <w:rStyle w:val="oypena"/>
          <w:rFonts w:eastAsiaTheme="minorEastAsia"/>
          <w:b/>
          <w:sz w:val="36"/>
          <w:szCs w:val="36"/>
          <w:u w:val="single"/>
        </w:rPr>
      </w:pPr>
    </w:p>
    <w:p w14:paraId="2D840F8C" w14:textId="77777777" w:rsidR="00864202" w:rsidRDefault="00864202" w:rsidP="1D09B734">
      <w:pPr>
        <w:pStyle w:val="ListParagraph"/>
        <w:jc w:val="center"/>
        <w:rPr>
          <w:rStyle w:val="oypena"/>
          <w:rFonts w:eastAsiaTheme="minorEastAsia"/>
          <w:b/>
          <w:sz w:val="36"/>
          <w:szCs w:val="36"/>
          <w:u w:val="single"/>
        </w:rPr>
      </w:pPr>
    </w:p>
    <w:p w14:paraId="6400A57F" w14:textId="77777777" w:rsidR="00864202" w:rsidRDefault="00864202" w:rsidP="1D09B734">
      <w:pPr>
        <w:pStyle w:val="ListParagraph"/>
        <w:jc w:val="center"/>
        <w:rPr>
          <w:rStyle w:val="oypena"/>
          <w:rFonts w:eastAsiaTheme="minorEastAsia"/>
          <w:b/>
          <w:sz w:val="36"/>
          <w:szCs w:val="36"/>
          <w:u w:val="single"/>
        </w:rPr>
      </w:pPr>
    </w:p>
    <w:p w14:paraId="4E6225BF" w14:textId="77777777" w:rsidR="00864202" w:rsidRDefault="00864202" w:rsidP="1D09B734">
      <w:pPr>
        <w:pStyle w:val="ListParagraph"/>
        <w:jc w:val="center"/>
        <w:rPr>
          <w:rStyle w:val="oypena"/>
          <w:rFonts w:eastAsiaTheme="minorEastAsia"/>
          <w:b/>
          <w:sz w:val="36"/>
          <w:szCs w:val="36"/>
          <w:u w:val="single"/>
        </w:rPr>
      </w:pPr>
    </w:p>
    <w:p w14:paraId="3B7410A4" w14:textId="77777777" w:rsidR="00864202" w:rsidRDefault="00864202" w:rsidP="1D09B734">
      <w:pPr>
        <w:pStyle w:val="ListParagraph"/>
        <w:jc w:val="center"/>
        <w:rPr>
          <w:rStyle w:val="oypena"/>
          <w:rFonts w:eastAsiaTheme="minorEastAsia"/>
          <w:b/>
          <w:sz w:val="36"/>
          <w:szCs w:val="36"/>
          <w:u w:val="single"/>
        </w:rPr>
      </w:pPr>
    </w:p>
    <w:p w14:paraId="53164C14" w14:textId="77777777" w:rsidR="00864202" w:rsidRDefault="00864202" w:rsidP="1D09B734">
      <w:pPr>
        <w:pStyle w:val="ListParagraph"/>
        <w:jc w:val="center"/>
        <w:rPr>
          <w:rStyle w:val="oypena"/>
          <w:rFonts w:eastAsiaTheme="minorEastAsia"/>
          <w:b/>
          <w:sz w:val="36"/>
          <w:szCs w:val="36"/>
          <w:u w:val="single"/>
        </w:rPr>
      </w:pPr>
    </w:p>
    <w:p w14:paraId="729FDF09" w14:textId="6EAF3878" w:rsidR="4D2611F3" w:rsidRDefault="0B66DF03" w:rsidP="1D09B734">
      <w:pPr>
        <w:pStyle w:val="ListParagraph"/>
        <w:jc w:val="center"/>
        <w:rPr>
          <w:rStyle w:val="oypena"/>
          <w:rFonts w:eastAsiaTheme="minorEastAsia"/>
          <w:b/>
          <w:sz w:val="36"/>
          <w:szCs w:val="36"/>
          <w:u w:val="single"/>
        </w:rPr>
      </w:pPr>
      <w:r w:rsidRPr="0E4A7D12">
        <w:rPr>
          <w:rStyle w:val="oypena"/>
          <w:rFonts w:eastAsiaTheme="minorEastAsia"/>
          <w:b/>
          <w:sz w:val="36"/>
          <w:szCs w:val="36"/>
          <w:u w:val="single"/>
        </w:rPr>
        <w:lastRenderedPageBreak/>
        <w:t>Social Post Citations</w:t>
      </w:r>
    </w:p>
    <w:p w14:paraId="3B7B18B3" w14:textId="073778E1" w:rsidR="00C61466" w:rsidRDefault="00B05C70" w:rsidP="69E18B7E">
      <w:pPr>
        <w:pStyle w:val="ListParagraph"/>
        <w:numPr>
          <w:ilvl w:val="0"/>
          <w:numId w:val="2"/>
        </w:numPr>
        <w:rPr>
          <w:rStyle w:val="oypena"/>
          <w:rFonts w:eastAsiaTheme="minorEastAsia"/>
        </w:rPr>
      </w:pPr>
      <w:r w:rsidRPr="69E18B7E">
        <w:rPr>
          <w:rStyle w:val="oypena"/>
          <w:rFonts w:eastAsiaTheme="minorEastAsia"/>
        </w:rPr>
        <w:t xml:space="preserve">Committee on World Food Security. CFS Voluntary Guidelines on Food Systems and Nutrition. Food and Agriculture Organization of the United Nations. 2021. Accessed August 11, 2023. </w:t>
      </w:r>
      <w:hyperlink r:id="rId12">
        <w:r w:rsidRPr="69E18B7E">
          <w:rPr>
            <w:rStyle w:val="Hyperlink"/>
            <w:rFonts w:eastAsiaTheme="minorEastAsia"/>
            <w:color w:val="auto"/>
          </w:rPr>
          <w:t>https://www.fao.org/fileadmin/templates/cfs/Docs2021/Documents/CFS_VGs_Food_Systems_and_Nutrition_Strategy_EN.pdf</w:t>
        </w:r>
      </w:hyperlink>
    </w:p>
    <w:p w14:paraId="5256D16C" w14:textId="77777777" w:rsidR="00B05C70" w:rsidRPr="00B05C70" w:rsidRDefault="00B05C70" w:rsidP="69E18B7E">
      <w:pPr>
        <w:numPr>
          <w:ilvl w:val="0"/>
          <w:numId w:val="2"/>
        </w:numPr>
        <w:spacing w:before="100" w:beforeAutospacing="1" w:after="100" w:afterAutospacing="1" w:line="240" w:lineRule="auto"/>
        <w:rPr>
          <w:rFonts w:eastAsiaTheme="minorEastAsia"/>
          <w:kern w:val="0"/>
          <w14:ligatures w14:val="none"/>
        </w:rPr>
      </w:pPr>
      <w:r w:rsidRPr="69E18B7E">
        <w:rPr>
          <w:rFonts w:eastAsiaTheme="minorEastAsia"/>
          <w:kern w:val="0"/>
          <w14:ligatures w14:val="none"/>
        </w:rPr>
        <w:t>Shanzenbach D, Tomeh N. IPR Rapid Research Report. Northwestern Institute for Policy Research. July 14, 2020. Accessed November 30, 2023. https://www.ipr.northwestern.edu/documents/reports/ipr-rapid-research-reports-app-visualizes-food-insecurity-14-july-2020.pdf</w:t>
      </w:r>
    </w:p>
    <w:p w14:paraId="67AD0FBC" w14:textId="77777777" w:rsidR="00B05C70" w:rsidRPr="00B05C70" w:rsidRDefault="00B05C70" w:rsidP="69E18B7E">
      <w:pPr>
        <w:numPr>
          <w:ilvl w:val="0"/>
          <w:numId w:val="2"/>
        </w:numPr>
        <w:spacing w:before="100" w:beforeAutospacing="1" w:after="100" w:afterAutospacing="1" w:line="240" w:lineRule="auto"/>
        <w:rPr>
          <w:rFonts w:eastAsiaTheme="minorEastAsia"/>
          <w:kern w:val="0"/>
          <w14:ligatures w14:val="none"/>
        </w:rPr>
      </w:pPr>
      <w:r w:rsidRPr="69E18B7E">
        <w:rPr>
          <w:rFonts w:eastAsiaTheme="minorEastAsia"/>
          <w:kern w:val="0"/>
          <w14:ligatures w14:val="none"/>
        </w:rPr>
        <w:t>Food Research &amp; Action Center. Hunger and health: The impact of poverty, food insecurity, and poor nutrition on health and well-being. December 2017. Accessed November 30, 2023. https://frac.org/wp-content/uploads/hunger-health-impact-poverty-food-insecurity-health-well-being.pdf</w:t>
      </w:r>
    </w:p>
    <w:p w14:paraId="75418C3D" w14:textId="77777777" w:rsidR="00B05C70" w:rsidRPr="00B05C70" w:rsidRDefault="00B05C70" w:rsidP="69E18B7E">
      <w:pPr>
        <w:numPr>
          <w:ilvl w:val="0"/>
          <w:numId w:val="2"/>
        </w:numPr>
        <w:spacing w:before="100" w:beforeAutospacing="1" w:after="100" w:afterAutospacing="1" w:line="240" w:lineRule="auto"/>
        <w:rPr>
          <w:rFonts w:eastAsiaTheme="minorEastAsia"/>
          <w:kern w:val="0"/>
          <w14:ligatures w14:val="none"/>
        </w:rPr>
      </w:pPr>
      <w:r w:rsidRPr="69E18B7E">
        <w:rPr>
          <w:rFonts w:eastAsiaTheme="minorEastAsia"/>
          <w:kern w:val="0"/>
          <w14:ligatures w14:val="none"/>
        </w:rPr>
        <w:t>Morales ME, Berkowitz SA. The Relationship between Food Insecurity, Dietary Patterns, and Obesity. Curr Nutr Rep. 2016;5(1):54-60. doi:10.1007/s13668-016-0153-y</w:t>
      </w:r>
    </w:p>
    <w:p w14:paraId="606E433A" w14:textId="14BA3FE5" w:rsidR="00B05C70" w:rsidRPr="00B05C70" w:rsidRDefault="00931326" w:rsidP="69E18B7E">
      <w:pPr>
        <w:pStyle w:val="ListParagraph"/>
        <w:numPr>
          <w:ilvl w:val="0"/>
          <w:numId w:val="2"/>
        </w:numPr>
        <w:rPr>
          <w:rFonts w:eastAsiaTheme="minorEastAsia"/>
        </w:rPr>
      </w:pPr>
      <w:r w:rsidRPr="69E18B7E">
        <w:rPr>
          <w:rFonts w:eastAsiaTheme="minorEastAsia"/>
        </w:rPr>
        <w:t xml:space="preserve">The First 1000 Days: Nourishing America’s Future. 1000 Days. 2016. Accessed November 30, 2023. </w:t>
      </w:r>
      <w:hyperlink r:id="rId13">
        <w:r w:rsidRPr="69E18B7E">
          <w:rPr>
            <w:rStyle w:val="Hyperlink"/>
            <w:rFonts w:eastAsiaTheme="minorEastAsia"/>
            <w:color w:val="auto"/>
          </w:rPr>
          <w:t>https://thousanddays.org/wp-content/uploads/1000Days-NourishingAmericasFuture-Report-FINAL-WEBVERSION-SINGLES.pdf</w:t>
        </w:r>
      </w:hyperlink>
    </w:p>
    <w:p w14:paraId="25B7DDAA" w14:textId="1B84D670" w:rsidR="00B05C70" w:rsidRPr="00B05C70" w:rsidRDefault="00931326" w:rsidP="69E18B7E">
      <w:pPr>
        <w:pStyle w:val="ListParagraph"/>
        <w:numPr>
          <w:ilvl w:val="0"/>
          <w:numId w:val="2"/>
        </w:numPr>
        <w:spacing w:after="0"/>
        <w:rPr>
          <w:rFonts w:eastAsiaTheme="minorEastAsia"/>
        </w:rPr>
      </w:pPr>
      <w:r w:rsidRPr="69E18B7E">
        <w:rPr>
          <w:rFonts w:eastAsiaTheme="minorEastAsia"/>
        </w:rPr>
        <w:t>Schwarzenberg SJ, Georgieff MK, Committee on Nutrition. Advocacy for improving nutrition in the first 1000 days to support childhood development and adult health. Pediatrics. 2018;141(2):e20173716. DOI:10.1542/peds.2017-3716</w:t>
      </w:r>
    </w:p>
    <w:p w14:paraId="47A8F44E" w14:textId="13DA84DA" w:rsidR="00B05C70" w:rsidRPr="00B05C70" w:rsidRDefault="00931326" w:rsidP="69E18B7E">
      <w:pPr>
        <w:pStyle w:val="ListParagraph"/>
        <w:numPr>
          <w:ilvl w:val="0"/>
          <w:numId w:val="2"/>
        </w:numPr>
        <w:spacing w:after="0"/>
        <w:rPr>
          <w:rFonts w:eastAsiaTheme="minorEastAsia"/>
        </w:rPr>
      </w:pPr>
      <w:r w:rsidRPr="69E18B7E">
        <w:rPr>
          <w:rFonts w:eastAsiaTheme="minorEastAsia"/>
        </w:rPr>
        <w:t>Robertson RC, Manges AR, Finlay BB, Prendergast AJ. The human microbiome and child growth: first 1000 days and beyond. Trends in Microbiol . 2019;27(2):131-147. DOI:10.1016/j.tim.2018.09.008</w:t>
      </w:r>
    </w:p>
    <w:p w14:paraId="34BC714B" w14:textId="62F8A892" w:rsidR="00B05C70" w:rsidRPr="00B05C70" w:rsidRDefault="00931326" w:rsidP="69E18B7E">
      <w:pPr>
        <w:pStyle w:val="ListParagraph"/>
        <w:numPr>
          <w:ilvl w:val="0"/>
          <w:numId w:val="2"/>
        </w:numPr>
        <w:spacing w:after="0"/>
        <w:rPr>
          <w:rFonts w:eastAsiaTheme="minorEastAsia"/>
        </w:rPr>
      </w:pPr>
      <w:r w:rsidRPr="69E18B7E">
        <w:rPr>
          <w:rFonts w:eastAsiaTheme="minorEastAsia"/>
        </w:rPr>
        <w:t xml:space="preserve">Lott M, Callahan E, Welker Duffy E, Story M, Daniels S. Consensus statement. Healthy beverage consumption in early childhood: recommendations from key national health and nutrition organizations. Healthy Eating Research. Published September 2019. Accessed November 30, 2023. </w:t>
      </w:r>
      <w:hyperlink r:id="rId14">
        <w:r w:rsidRPr="69E18B7E">
          <w:rPr>
            <w:rStyle w:val="Hyperlink"/>
            <w:rFonts w:eastAsiaTheme="minorEastAsia"/>
            <w:color w:val="auto"/>
          </w:rPr>
          <w:t>https://healthyeatingresearch.org/research/consensus-statement-healthy-beverage-consumption-in-early-childhood-recommendations-from-key-national-health-and-nutrition-organizations</w:t>
        </w:r>
      </w:hyperlink>
    </w:p>
    <w:sectPr w:rsidR="00B05C70" w:rsidRPr="00B05C70" w:rsidSect="0007611C">
      <w:pgSz w:w="15840" w:h="12240" w:orient="landscape"/>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C6151A9"/>
    <w:multiLevelType w:val="hybridMultilevel"/>
    <w:tmpl w:val="2DE889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DF95B61"/>
    <w:multiLevelType w:val="multilevel"/>
    <w:tmpl w:val="BC6AB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C3E42F"/>
    <w:multiLevelType w:val="hybridMultilevel"/>
    <w:tmpl w:val="3E661F24"/>
    <w:lvl w:ilvl="0" w:tplc="1646C026">
      <w:start w:val="1"/>
      <w:numFmt w:val="bullet"/>
      <w:lvlText w:val=""/>
      <w:lvlJc w:val="left"/>
      <w:pPr>
        <w:ind w:left="720" w:hanging="360"/>
      </w:pPr>
      <w:rPr>
        <w:rFonts w:ascii="Symbol" w:hAnsi="Symbol" w:hint="default"/>
      </w:rPr>
    </w:lvl>
    <w:lvl w:ilvl="1" w:tplc="E26842AC">
      <w:start w:val="1"/>
      <w:numFmt w:val="bullet"/>
      <w:lvlText w:val="o"/>
      <w:lvlJc w:val="left"/>
      <w:pPr>
        <w:ind w:left="1440" w:hanging="360"/>
      </w:pPr>
      <w:rPr>
        <w:rFonts w:ascii="Courier New" w:hAnsi="Courier New" w:hint="default"/>
      </w:rPr>
    </w:lvl>
    <w:lvl w:ilvl="2" w:tplc="4E9E852C">
      <w:start w:val="1"/>
      <w:numFmt w:val="bullet"/>
      <w:lvlText w:val=""/>
      <w:lvlJc w:val="left"/>
      <w:pPr>
        <w:ind w:left="2160" w:hanging="360"/>
      </w:pPr>
      <w:rPr>
        <w:rFonts w:ascii="Wingdings" w:hAnsi="Wingdings" w:hint="default"/>
      </w:rPr>
    </w:lvl>
    <w:lvl w:ilvl="3" w:tplc="63C4E886">
      <w:start w:val="1"/>
      <w:numFmt w:val="bullet"/>
      <w:lvlText w:val=""/>
      <w:lvlJc w:val="left"/>
      <w:pPr>
        <w:ind w:left="2880" w:hanging="360"/>
      </w:pPr>
      <w:rPr>
        <w:rFonts w:ascii="Symbol" w:hAnsi="Symbol" w:hint="default"/>
      </w:rPr>
    </w:lvl>
    <w:lvl w:ilvl="4" w:tplc="0ABAC27A">
      <w:start w:val="1"/>
      <w:numFmt w:val="bullet"/>
      <w:lvlText w:val="o"/>
      <w:lvlJc w:val="left"/>
      <w:pPr>
        <w:ind w:left="3600" w:hanging="360"/>
      </w:pPr>
      <w:rPr>
        <w:rFonts w:ascii="Courier New" w:hAnsi="Courier New" w:hint="default"/>
      </w:rPr>
    </w:lvl>
    <w:lvl w:ilvl="5" w:tplc="51B639FA">
      <w:start w:val="1"/>
      <w:numFmt w:val="bullet"/>
      <w:lvlText w:val=""/>
      <w:lvlJc w:val="left"/>
      <w:pPr>
        <w:ind w:left="4320" w:hanging="360"/>
      </w:pPr>
      <w:rPr>
        <w:rFonts w:ascii="Wingdings" w:hAnsi="Wingdings" w:hint="default"/>
      </w:rPr>
    </w:lvl>
    <w:lvl w:ilvl="6" w:tplc="89DC5AA6">
      <w:start w:val="1"/>
      <w:numFmt w:val="bullet"/>
      <w:lvlText w:val=""/>
      <w:lvlJc w:val="left"/>
      <w:pPr>
        <w:ind w:left="5040" w:hanging="360"/>
      </w:pPr>
      <w:rPr>
        <w:rFonts w:ascii="Symbol" w:hAnsi="Symbol" w:hint="default"/>
      </w:rPr>
    </w:lvl>
    <w:lvl w:ilvl="7" w:tplc="0B0C28BA">
      <w:start w:val="1"/>
      <w:numFmt w:val="bullet"/>
      <w:lvlText w:val="o"/>
      <w:lvlJc w:val="left"/>
      <w:pPr>
        <w:ind w:left="5760" w:hanging="360"/>
      </w:pPr>
      <w:rPr>
        <w:rFonts w:ascii="Courier New" w:hAnsi="Courier New" w:hint="default"/>
      </w:rPr>
    </w:lvl>
    <w:lvl w:ilvl="8" w:tplc="CCCEA02C">
      <w:start w:val="1"/>
      <w:numFmt w:val="bullet"/>
      <w:lvlText w:val=""/>
      <w:lvlJc w:val="left"/>
      <w:pPr>
        <w:ind w:left="6480" w:hanging="360"/>
      </w:pPr>
      <w:rPr>
        <w:rFonts w:ascii="Wingdings" w:hAnsi="Wingdings" w:hint="default"/>
      </w:rPr>
    </w:lvl>
  </w:abstractNum>
  <w:num w:numId="1" w16cid:durableId="1457136731">
    <w:abstractNumId w:val="2"/>
  </w:num>
  <w:num w:numId="2" w16cid:durableId="969557780">
    <w:abstractNumId w:val="0"/>
  </w:num>
  <w:num w:numId="3" w16cid:durableId="13967340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466"/>
    <w:rsid w:val="00025C63"/>
    <w:rsid w:val="00050D2E"/>
    <w:rsid w:val="0007611C"/>
    <w:rsid w:val="000B47C2"/>
    <w:rsid w:val="000B7E0F"/>
    <w:rsid w:val="000F69B5"/>
    <w:rsid w:val="0012682A"/>
    <w:rsid w:val="001343AC"/>
    <w:rsid w:val="00141DAA"/>
    <w:rsid w:val="0015531E"/>
    <w:rsid w:val="001652D6"/>
    <w:rsid w:val="001919DF"/>
    <w:rsid w:val="00194CA0"/>
    <w:rsid w:val="001B0D35"/>
    <w:rsid w:val="001C44D9"/>
    <w:rsid w:val="001D35E7"/>
    <w:rsid w:val="00223B83"/>
    <w:rsid w:val="002767FC"/>
    <w:rsid w:val="002D47C7"/>
    <w:rsid w:val="002F6D8E"/>
    <w:rsid w:val="00303271"/>
    <w:rsid w:val="00305C8A"/>
    <w:rsid w:val="003237E4"/>
    <w:rsid w:val="0032458A"/>
    <w:rsid w:val="003430CC"/>
    <w:rsid w:val="003C05C7"/>
    <w:rsid w:val="003D4697"/>
    <w:rsid w:val="003E6BF0"/>
    <w:rsid w:val="00410955"/>
    <w:rsid w:val="00426001"/>
    <w:rsid w:val="00460D7E"/>
    <w:rsid w:val="00483832"/>
    <w:rsid w:val="00490E29"/>
    <w:rsid w:val="00492E76"/>
    <w:rsid w:val="00496C6C"/>
    <w:rsid w:val="004B67CF"/>
    <w:rsid w:val="004D487A"/>
    <w:rsid w:val="004E5096"/>
    <w:rsid w:val="004E57BA"/>
    <w:rsid w:val="004F1B9A"/>
    <w:rsid w:val="005105E6"/>
    <w:rsid w:val="00576423"/>
    <w:rsid w:val="005827CF"/>
    <w:rsid w:val="005938E7"/>
    <w:rsid w:val="005A30C3"/>
    <w:rsid w:val="0060266E"/>
    <w:rsid w:val="00622CCD"/>
    <w:rsid w:val="0063488A"/>
    <w:rsid w:val="006A56BB"/>
    <w:rsid w:val="006C0526"/>
    <w:rsid w:val="006E1778"/>
    <w:rsid w:val="006F7EA8"/>
    <w:rsid w:val="00747CC3"/>
    <w:rsid w:val="00750FF9"/>
    <w:rsid w:val="00767252"/>
    <w:rsid w:val="007804DF"/>
    <w:rsid w:val="00843E2E"/>
    <w:rsid w:val="00864202"/>
    <w:rsid w:val="00876854"/>
    <w:rsid w:val="008875B4"/>
    <w:rsid w:val="008A39DD"/>
    <w:rsid w:val="008A68B1"/>
    <w:rsid w:val="008B76C0"/>
    <w:rsid w:val="008C1153"/>
    <w:rsid w:val="008D0DF0"/>
    <w:rsid w:val="008E7344"/>
    <w:rsid w:val="009176D5"/>
    <w:rsid w:val="00917CEF"/>
    <w:rsid w:val="00923B55"/>
    <w:rsid w:val="00931326"/>
    <w:rsid w:val="00962879"/>
    <w:rsid w:val="00967AD1"/>
    <w:rsid w:val="009F6E70"/>
    <w:rsid w:val="00A11518"/>
    <w:rsid w:val="00A15FAD"/>
    <w:rsid w:val="00A354BC"/>
    <w:rsid w:val="00A97319"/>
    <w:rsid w:val="00AD662C"/>
    <w:rsid w:val="00B05C70"/>
    <w:rsid w:val="00B40838"/>
    <w:rsid w:val="00B6355F"/>
    <w:rsid w:val="00BD71FB"/>
    <w:rsid w:val="00C16B5B"/>
    <w:rsid w:val="00C61466"/>
    <w:rsid w:val="00C70217"/>
    <w:rsid w:val="00C816D4"/>
    <w:rsid w:val="00D11A3D"/>
    <w:rsid w:val="00D4131F"/>
    <w:rsid w:val="00D566F4"/>
    <w:rsid w:val="00D85708"/>
    <w:rsid w:val="00D9346B"/>
    <w:rsid w:val="00DB0E89"/>
    <w:rsid w:val="00DC4F5E"/>
    <w:rsid w:val="00DC790C"/>
    <w:rsid w:val="00DD5AF4"/>
    <w:rsid w:val="00DE6DEB"/>
    <w:rsid w:val="00E224DC"/>
    <w:rsid w:val="00E3442F"/>
    <w:rsid w:val="00E80ADD"/>
    <w:rsid w:val="00E81619"/>
    <w:rsid w:val="00E83E2B"/>
    <w:rsid w:val="00E84822"/>
    <w:rsid w:val="00E8629E"/>
    <w:rsid w:val="00EA4B17"/>
    <w:rsid w:val="00EC36E2"/>
    <w:rsid w:val="00EE2B30"/>
    <w:rsid w:val="00EF0B21"/>
    <w:rsid w:val="00F01E41"/>
    <w:rsid w:val="00F06621"/>
    <w:rsid w:val="00F36CA1"/>
    <w:rsid w:val="00F505B4"/>
    <w:rsid w:val="00F752A9"/>
    <w:rsid w:val="00FC1D74"/>
    <w:rsid w:val="058E6A34"/>
    <w:rsid w:val="07A7EB7E"/>
    <w:rsid w:val="08A738F9"/>
    <w:rsid w:val="08D9EEE5"/>
    <w:rsid w:val="08DE35DD"/>
    <w:rsid w:val="08FDB175"/>
    <w:rsid w:val="0B66DF03"/>
    <w:rsid w:val="0D98EAAF"/>
    <w:rsid w:val="0E21B6D4"/>
    <w:rsid w:val="0E4A7D12"/>
    <w:rsid w:val="0E9D32A2"/>
    <w:rsid w:val="0EFE6A30"/>
    <w:rsid w:val="10D2F98C"/>
    <w:rsid w:val="1216472E"/>
    <w:rsid w:val="156FCEFB"/>
    <w:rsid w:val="15A49FE1"/>
    <w:rsid w:val="173DBC47"/>
    <w:rsid w:val="1887E9B7"/>
    <w:rsid w:val="189E68B2"/>
    <w:rsid w:val="19B413C7"/>
    <w:rsid w:val="1A06F6EC"/>
    <w:rsid w:val="1D09B734"/>
    <w:rsid w:val="1E477F35"/>
    <w:rsid w:val="1EE8428E"/>
    <w:rsid w:val="1F1A02DD"/>
    <w:rsid w:val="1FA8BF08"/>
    <w:rsid w:val="2198C393"/>
    <w:rsid w:val="25D16969"/>
    <w:rsid w:val="27F52934"/>
    <w:rsid w:val="2AC7E5A8"/>
    <w:rsid w:val="2C834966"/>
    <w:rsid w:val="2DD7B89A"/>
    <w:rsid w:val="3087D225"/>
    <w:rsid w:val="308D1AF2"/>
    <w:rsid w:val="3886AC31"/>
    <w:rsid w:val="38BED4EB"/>
    <w:rsid w:val="3AA6059E"/>
    <w:rsid w:val="3CF55FBF"/>
    <w:rsid w:val="3E78764E"/>
    <w:rsid w:val="3F27A185"/>
    <w:rsid w:val="4353DE0D"/>
    <w:rsid w:val="43F706B7"/>
    <w:rsid w:val="44F9A424"/>
    <w:rsid w:val="46878AD7"/>
    <w:rsid w:val="46EF0240"/>
    <w:rsid w:val="4B50C7AB"/>
    <w:rsid w:val="4C16641A"/>
    <w:rsid w:val="4C8AE195"/>
    <w:rsid w:val="4D2611F3"/>
    <w:rsid w:val="4F611848"/>
    <w:rsid w:val="51409924"/>
    <w:rsid w:val="5186FB3E"/>
    <w:rsid w:val="51DA90CE"/>
    <w:rsid w:val="52285A83"/>
    <w:rsid w:val="57C89270"/>
    <w:rsid w:val="5CC8986E"/>
    <w:rsid w:val="5CE0D713"/>
    <w:rsid w:val="5DEC6D23"/>
    <w:rsid w:val="5EF70EE7"/>
    <w:rsid w:val="6092D10C"/>
    <w:rsid w:val="60ADDC8B"/>
    <w:rsid w:val="60D12E83"/>
    <w:rsid w:val="655B13A0"/>
    <w:rsid w:val="68435BF4"/>
    <w:rsid w:val="69E18B7E"/>
    <w:rsid w:val="6ACD6622"/>
    <w:rsid w:val="6B963020"/>
    <w:rsid w:val="70EEAE72"/>
    <w:rsid w:val="7F0E60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126950"/>
  <w15:chartTrackingRefBased/>
  <w15:docId w15:val="{9F8AE1D9-1284-466F-8005-460D22B07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6146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6146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6146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6146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6146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6146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146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146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146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146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6146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6146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6146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6146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6146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146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146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1466"/>
    <w:rPr>
      <w:rFonts w:eastAsiaTheme="majorEastAsia" w:cstheme="majorBidi"/>
      <w:color w:val="272727" w:themeColor="text1" w:themeTint="D8"/>
    </w:rPr>
  </w:style>
  <w:style w:type="paragraph" w:styleId="Title">
    <w:name w:val="Title"/>
    <w:basedOn w:val="Normal"/>
    <w:next w:val="Normal"/>
    <w:link w:val="TitleChar"/>
    <w:uiPriority w:val="10"/>
    <w:qFormat/>
    <w:rsid w:val="00C6146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146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146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146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1466"/>
    <w:pPr>
      <w:spacing w:before="160"/>
      <w:jc w:val="center"/>
    </w:pPr>
    <w:rPr>
      <w:i/>
      <w:iCs/>
      <w:color w:val="404040" w:themeColor="text1" w:themeTint="BF"/>
    </w:rPr>
  </w:style>
  <w:style w:type="character" w:customStyle="1" w:styleId="QuoteChar">
    <w:name w:val="Quote Char"/>
    <w:basedOn w:val="DefaultParagraphFont"/>
    <w:link w:val="Quote"/>
    <w:uiPriority w:val="29"/>
    <w:rsid w:val="00C61466"/>
    <w:rPr>
      <w:i/>
      <w:iCs/>
      <w:color w:val="404040" w:themeColor="text1" w:themeTint="BF"/>
    </w:rPr>
  </w:style>
  <w:style w:type="paragraph" w:styleId="ListParagraph">
    <w:name w:val="List Paragraph"/>
    <w:basedOn w:val="Normal"/>
    <w:uiPriority w:val="34"/>
    <w:qFormat/>
    <w:rsid w:val="00C61466"/>
    <w:pPr>
      <w:ind w:left="720"/>
      <w:contextualSpacing/>
    </w:pPr>
  </w:style>
  <w:style w:type="character" w:styleId="IntenseEmphasis">
    <w:name w:val="Intense Emphasis"/>
    <w:basedOn w:val="DefaultParagraphFont"/>
    <w:uiPriority w:val="21"/>
    <w:qFormat/>
    <w:rsid w:val="00C61466"/>
    <w:rPr>
      <w:i/>
      <w:iCs/>
      <w:color w:val="0F4761" w:themeColor="accent1" w:themeShade="BF"/>
    </w:rPr>
  </w:style>
  <w:style w:type="paragraph" w:styleId="IntenseQuote">
    <w:name w:val="Intense Quote"/>
    <w:basedOn w:val="Normal"/>
    <w:next w:val="Normal"/>
    <w:link w:val="IntenseQuoteChar"/>
    <w:uiPriority w:val="30"/>
    <w:qFormat/>
    <w:rsid w:val="00C6146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61466"/>
    <w:rPr>
      <w:i/>
      <w:iCs/>
      <w:color w:val="0F4761" w:themeColor="accent1" w:themeShade="BF"/>
    </w:rPr>
  </w:style>
  <w:style w:type="character" w:styleId="IntenseReference">
    <w:name w:val="Intense Reference"/>
    <w:basedOn w:val="DefaultParagraphFont"/>
    <w:uiPriority w:val="32"/>
    <w:qFormat/>
    <w:rsid w:val="00C61466"/>
    <w:rPr>
      <w:b/>
      <w:bCs/>
      <w:smallCaps/>
      <w:color w:val="0F4761" w:themeColor="accent1" w:themeShade="BF"/>
      <w:spacing w:val="5"/>
    </w:rPr>
  </w:style>
  <w:style w:type="table" w:styleId="TableGrid">
    <w:name w:val="Table Grid"/>
    <w:basedOn w:val="TableNormal"/>
    <w:uiPriority w:val="39"/>
    <w:rsid w:val="00C614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61466"/>
    <w:rPr>
      <w:color w:val="467886" w:themeColor="hyperlink"/>
      <w:u w:val="single"/>
    </w:rPr>
  </w:style>
  <w:style w:type="character" w:styleId="UnresolvedMention">
    <w:name w:val="Unresolved Mention"/>
    <w:basedOn w:val="DefaultParagraphFont"/>
    <w:uiPriority w:val="99"/>
    <w:semiHidden/>
    <w:unhideWhenUsed/>
    <w:rsid w:val="00C61466"/>
    <w:rPr>
      <w:color w:val="605E5C"/>
      <w:shd w:val="clear" w:color="auto" w:fill="E1DFDD"/>
    </w:rPr>
  </w:style>
  <w:style w:type="character" w:customStyle="1" w:styleId="oypena">
    <w:name w:val="oypena"/>
    <w:basedOn w:val="DefaultParagraphFont"/>
    <w:rsid w:val="00B05C70"/>
  </w:style>
  <w:style w:type="character" w:styleId="CommentReference">
    <w:name w:val="annotation reference"/>
    <w:basedOn w:val="DefaultParagraphFont"/>
    <w:uiPriority w:val="99"/>
    <w:semiHidden/>
    <w:unhideWhenUsed/>
    <w:rsid w:val="00410955"/>
    <w:rPr>
      <w:sz w:val="16"/>
      <w:szCs w:val="16"/>
    </w:rPr>
  </w:style>
  <w:style w:type="paragraph" w:styleId="CommentText">
    <w:name w:val="annotation text"/>
    <w:basedOn w:val="Normal"/>
    <w:link w:val="CommentTextChar"/>
    <w:uiPriority w:val="99"/>
    <w:unhideWhenUsed/>
    <w:rsid w:val="00410955"/>
    <w:pPr>
      <w:spacing w:line="240" w:lineRule="auto"/>
    </w:pPr>
    <w:rPr>
      <w:sz w:val="20"/>
      <w:szCs w:val="20"/>
    </w:rPr>
  </w:style>
  <w:style w:type="character" w:customStyle="1" w:styleId="CommentTextChar">
    <w:name w:val="Comment Text Char"/>
    <w:basedOn w:val="DefaultParagraphFont"/>
    <w:link w:val="CommentText"/>
    <w:uiPriority w:val="99"/>
    <w:rsid w:val="00410955"/>
    <w:rPr>
      <w:sz w:val="20"/>
      <w:szCs w:val="20"/>
    </w:rPr>
  </w:style>
  <w:style w:type="paragraph" w:styleId="CommentSubject">
    <w:name w:val="annotation subject"/>
    <w:basedOn w:val="CommentText"/>
    <w:next w:val="CommentText"/>
    <w:link w:val="CommentSubjectChar"/>
    <w:uiPriority w:val="99"/>
    <w:semiHidden/>
    <w:unhideWhenUsed/>
    <w:rsid w:val="00410955"/>
    <w:rPr>
      <w:b/>
      <w:bCs/>
    </w:rPr>
  </w:style>
  <w:style w:type="character" w:customStyle="1" w:styleId="CommentSubjectChar">
    <w:name w:val="Comment Subject Char"/>
    <w:basedOn w:val="CommentTextChar"/>
    <w:link w:val="CommentSubject"/>
    <w:uiPriority w:val="99"/>
    <w:semiHidden/>
    <w:rsid w:val="0041095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3399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s://thousanddays.org/wp-content/uploads/1000Days-NourishingAmericasFuture-Report-FINAL-WEBVERSION-SINGLES.pdf" TargetMode="Externa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s://www.fao.org/fileadmin/templates/cfs/Docs2021/Documents/CFS_VGs_Food_Systems_and_Nutrition_Strategy_EN.pdf" TargetMode="Externa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jpeg"/><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s://healthyeatingresearch.org/research/consensus-statement-healthy-beverage-consumption-in-early-childhood-recommendations-from-key-national-health-and-nutrition-organiz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2295DCB916D940B3D8D49F39792BC7" ma:contentTypeVersion="14" ma:contentTypeDescription="Create a new document." ma:contentTypeScope="" ma:versionID="b2e39a3f0e65a6faf447c76eafd09a27">
  <xsd:schema xmlns:xsd="http://www.w3.org/2001/XMLSchema" xmlns:xs="http://www.w3.org/2001/XMLSchema" xmlns:p="http://schemas.microsoft.com/office/2006/metadata/properties" xmlns:ns2="98242d7b-b385-4164-9cbd-edc9d256e9d3" xmlns:ns3="c38108c7-8ad7-4c33-983b-272d7712edb4" targetNamespace="http://schemas.microsoft.com/office/2006/metadata/properties" ma:root="true" ma:fieldsID="df424302adb7c82c4089751a35410ea7" ns2:_="" ns3:_="">
    <xsd:import namespace="98242d7b-b385-4164-9cbd-edc9d256e9d3"/>
    <xsd:import namespace="c38108c7-8ad7-4c33-983b-272d7712edb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242d7b-b385-4164-9cbd-edc9d256e9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349b7ce8-191d-4c6c-babb-87a09c08fb4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38108c7-8ad7-4c33-983b-272d7712edb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0bb376cb-de2a-4460-97bd-83c5e672a3fd}" ma:internalName="TaxCatchAll" ma:showField="CatchAllData" ma:web="c38108c7-8ad7-4c33-983b-272d7712ed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38108c7-8ad7-4c33-983b-272d7712edb4" xsi:nil="true"/>
    <lcf76f155ced4ddcb4097134ff3c332f xmlns="98242d7b-b385-4164-9cbd-edc9d256e9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669BB11-C15D-48E1-9A78-1C32298F4DE8}"/>
</file>

<file path=customXml/itemProps2.xml><?xml version="1.0" encoding="utf-8"?>
<ds:datastoreItem xmlns:ds="http://schemas.openxmlformats.org/officeDocument/2006/customXml" ds:itemID="{4B234327-54A5-402F-938F-23A939E9D985}"/>
</file>

<file path=customXml/itemProps3.xml><?xml version="1.0" encoding="utf-8"?>
<ds:datastoreItem xmlns:ds="http://schemas.openxmlformats.org/officeDocument/2006/customXml" ds:itemID="{93E1C67D-4E49-4CFA-A53B-AE102C45EA29}"/>
</file>

<file path=docProps/app.xml><?xml version="1.0" encoding="utf-8"?>
<Properties xmlns="http://schemas.openxmlformats.org/officeDocument/2006/extended-properties" xmlns:vt="http://schemas.openxmlformats.org/officeDocument/2006/docPropsVTypes">
  <Template>Normal</Template>
  <TotalTime>1</TotalTime>
  <Pages>4</Pages>
  <Words>718</Words>
  <Characters>4097</Characters>
  <Application>Microsoft Office Word</Application>
  <DocSecurity>0</DocSecurity>
  <Lines>34</Lines>
  <Paragraphs>9</Paragraphs>
  <ScaleCrop>false</ScaleCrop>
  <Company/>
  <LinksUpToDate>false</LinksUpToDate>
  <CharactersWithSpaces>4806</CharactersWithSpaces>
  <SharedDoc>false</SharedDoc>
  <HLinks>
    <vt:vector size="18" baseType="variant">
      <vt:variant>
        <vt:i4>2883709</vt:i4>
      </vt:variant>
      <vt:variant>
        <vt:i4>6</vt:i4>
      </vt:variant>
      <vt:variant>
        <vt:i4>0</vt:i4>
      </vt:variant>
      <vt:variant>
        <vt:i4>5</vt:i4>
      </vt:variant>
      <vt:variant>
        <vt:lpwstr>https://healthyeatingresearch.org/research/consensus-statement-healthy-beverage-consumption-in-early-childhood-recommendations-from-key-national-health-and-nutrition-organizations</vt:lpwstr>
      </vt:variant>
      <vt:variant>
        <vt:lpwstr/>
      </vt:variant>
      <vt:variant>
        <vt:i4>1703960</vt:i4>
      </vt:variant>
      <vt:variant>
        <vt:i4>3</vt:i4>
      </vt:variant>
      <vt:variant>
        <vt:i4>0</vt:i4>
      </vt:variant>
      <vt:variant>
        <vt:i4>5</vt:i4>
      </vt:variant>
      <vt:variant>
        <vt:lpwstr>https://thousanddays.org/wp-content/uploads/1000Days-NourishingAmericasFuture-Report-FINAL-WEBVERSION-SINGLES.pdf</vt:lpwstr>
      </vt:variant>
      <vt:variant>
        <vt:lpwstr/>
      </vt:variant>
      <vt:variant>
        <vt:i4>4259961</vt:i4>
      </vt:variant>
      <vt:variant>
        <vt:i4>0</vt:i4>
      </vt:variant>
      <vt:variant>
        <vt:i4>0</vt:i4>
      </vt:variant>
      <vt:variant>
        <vt:i4>5</vt:i4>
      </vt:variant>
      <vt:variant>
        <vt:lpwstr>https://www.fao.org/fileadmin/templates/cfs/Docs2021/Documents/CFS_VGs_Food_Systems_and_Nutrition_Strategy_EN.pdf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Farias</dc:creator>
  <cp:keywords/>
  <dc:description/>
  <cp:lastModifiedBy>Renee Farias</cp:lastModifiedBy>
  <cp:revision>2</cp:revision>
  <dcterms:created xsi:type="dcterms:W3CDTF">2024-05-30T17:49:00Z</dcterms:created>
  <dcterms:modified xsi:type="dcterms:W3CDTF">2024-05-30T17:49:00Z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c11f41c1-4b63-4c79-a29e-41a354946b83</vt:lpwstr>
  </property>
  <property fmtid="{D5CDD505-2E9C-101B-9397-08002B2CF9AE}" pid="3" name="ContentTypeId">
    <vt:lpwstr>0x010100CE2295DCB916D940B3D8D49F39792BC7</vt:lpwstr>
  </property>
</Properties>
</file>